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ПРОЄКТ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                  м. Сквира                         №  -38-VІІІ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типів об’єктів комунальної власності Сквирської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міської територіальної громади, що підлягають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Внести зміни до Переліку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                                                          Тетяна ВЛАСЮК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Людмила СЕРГІЄНКО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   Віктор САЛТАНЮК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E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F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будівництва, комунальної власності</w:t>
      </w:r>
    </w:p>
    <w:p w:rsidR="00000000" w:rsidDel="00000000" w:rsidP="00000000" w:rsidRDefault="00000000" w:rsidRPr="00000000" w14:paraId="00000030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та житлово-комунального господарства</w:t>
      </w:r>
    </w:p>
    <w:p w:rsidR="00000000" w:rsidDel="00000000" w:rsidP="00000000" w:rsidRDefault="00000000" w:rsidRPr="00000000" w14:paraId="00000031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міської ради</w:t>
        <w:tab/>
        <w:tab/>
        <w:tab/>
        <w:tab/>
        <w:tab/>
        <w:t xml:space="preserve">                        Марина ТЕРНОВА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6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7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9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A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проєкту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 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 Переліку першого типу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внести зміни по об’єкту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 вул. Перемоги,14 в с. Минківці Білоцерківського району Київській області площею 271,3кв.м.  викласти в наступній редакції </w:t>
      </w:r>
    </w:p>
    <w:tbl>
      <w:tblPr>
        <w:tblStyle w:val="Table1"/>
        <w:tblW w:w="9612.0" w:type="dxa"/>
        <w:jc w:val="left"/>
        <w:tblLayout w:type="fixed"/>
        <w:tblLook w:val="0400"/>
      </w:tblPr>
      <w:tblGrid>
        <w:gridCol w:w="4444"/>
        <w:gridCol w:w="4410"/>
        <w:gridCol w:w="758"/>
        <w:tblGridChange w:id="0">
          <w:tblGrid>
            <w:gridCol w:w="4444"/>
            <w:gridCol w:w="4410"/>
            <w:gridCol w:w="758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нежитлові приміщення будівлі - магазину роздрібної торгівлі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Перемоги, 14 в с. Минківці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165,2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частина нежитлової будівлі магазину роздрібної торгівлі (приміщення № 1-1, 1-2)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Перемоги, 14 в с. Минківці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106,1</w:t>
            </w:r>
          </w:p>
        </w:tc>
      </w:tr>
    </w:tbl>
    <w:p w:rsidR="00000000" w:rsidDel="00000000" w:rsidP="00000000" w:rsidRDefault="00000000" w:rsidRPr="00000000" w14:paraId="0000005A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Об’єкт по вул. Липовецька, 93 в м. Сквира Білоцерківського району Київській області площею 1129,1кв.м. викласти в наступній редакції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.</w:t>
      </w:r>
    </w:p>
    <w:tbl>
      <w:tblPr>
        <w:tblStyle w:val="Table2"/>
        <w:tblW w:w="9612.0" w:type="dxa"/>
        <w:jc w:val="left"/>
        <w:tblLayout w:type="fixed"/>
        <w:tblLook w:val="0400"/>
      </w:tblPr>
      <w:tblGrid>
        <w:gridCol w:w="4528"/>
        <w:gridCol w:w="4114"/>
        <w:gridCol w:w="970"/>
        <w:tblGridChange w:id="0">
          <w:tblGrid>
            <w:gridCol w:w="4528"/>
            <w:gridCol w:w="4114"/>
            <w:gridCol w:w="970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нежитлове приміщення громадського будинку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Липовецька, 93 в м. Сквира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1 091,0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нежитлове приміщення громадського будинку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Липовецька, 93 в м. Сквира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bookmarkStart w:colFirst="0" w:colLast="0" w:name="_heading=h.2s8eyo1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38,1</w:t>
            </w:r>
          </w:p>
        </w:tc>
      </w:tr>
    </w:tbl>
    <w:p w:rsidR="00000000" w:rsidDel="00000000" w:rsidP="00000000" w:rsidRDefault="00000000" w:rsidRPr="00000000" w14:paraId="00000061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 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економічної точки зору – рішення має забезпечити ефективне та цільове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69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Начальниця відділу                       </w:t>
        <w:tab/>
        <w:t xml:space="preserve">                             Марина ТЕРНОВА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6096"/>
        </w:tabs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власності Сквирської міської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підлягають передачі в оренду в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tabs>
                <w:tab w:val="left" w:leader="none" w:pos="6096"/>
              </w:tabs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spacing w:after="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1" w:hanging="3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spacing w:after="0" w:lineRule="auto"/>
              <w:ind w:left="1" w:hanging="3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8E">
      <w:pPr>
        <w:tabs>
          <w:tab w:val="left" w:leader="none" w:pos="6096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92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93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94">
      <w:pPr>
        <w:tabs>
          <w:tab w:val="left" w:leader="none" w:pos="6096"/>
        </w:tabs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95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ind w:left="-4" w:hanging="2.000000000000001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120.000000000002" w:type="dxa"/>
        <w:jc w:val="left"/>
        <w:tblLayout w:type="fixed"/>
        <w:tblLook w:val="0400"/>
      </w:tblPr>
      <w:tblGrid>
        <w:gridCol w:w="407"/>
        <w:gridCol w:w="1716"/>
        <w:gridCol w:w="3719"/>
        <w:gridCol w:w="1007"/>
        <w:gridCol w:w="3435"/>
        <w:gridCol w:w="2023"/>
        <w:gridCol w:w="754"/>
        <w:gridCol w:w="2059"/>
        <w:tblGridChange w:id="0">
          <w:tblGrid>
            <w:gridCol w:w="407"/>
            <w:gridCol w:w="1716"/>
            <w:gridCol w:w="3719"/>
            <w:gridCol w:w="1007"/>
            <w:gridCol w:w="3435"/>
            <w:gridCol w:w="2023"/>
            <w:gridCol w:w="754"/>
            <w:gridCol w:w="2059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1 091,0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16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165,2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1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8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9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A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</w:t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</w:t>
            </w:r>
          </w:p>
          <w:p w:rsidR="00000000" w:rsidDel="00000000" w:rsidP="00000000" w:rsidRDefault="00000000" w:rsidRPr="00000000" w14:paraId="000001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</w:t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</w:t>
            </w:r>
          </w:p>
          <w:p w:rsidR="00000000" w:rsidDel="00000000" w:rsidP="00000000" w:rsidRDefault="00000000" w:rsidRPr="00000000" w14:paraId="000001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 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</w:t>
            </w:r>
          </w:p>
          <w:p w:rsidR="00000000" w:rsidDel="00000000" w:rsidP="00000000" w:rsidRDefault="00000000" w:rsidRPr="00000000" w14:paraId="0000020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0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</w:t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2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</w:t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с.Цапіївка 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</w:t>
            </w:r>
          </w:p>
          <w:p w:rsidR="00000000" w:rsidDel="00000000" w:rsidP="00000000" w:rsidRDefault="00000000" w:rsidRPr="00000000" w14:paraId="0000027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27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8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9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          </w:t>
            </w:r>
          </w:p>
          <w:p w:rsidR="00000000" w:rsidDel="00000000" w:rsidP="00000000" w:rsidRDefault="00000000" w:rsidRPr="00000000" w14:paraId="000002B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 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   </w:t>
            </w:r>
          </w:p>
          <w:p w:rsidR="00000000" w:rsidDel="00000000" w:rsidP="00000000" w:rsidRDefault="00000000" w:rsidRPr="00000000" w14:paraId="000002B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</w:t>
            </w:r>
          </w:p>
          <w:p w:rsidR="00000000" w:rsidDel="00000000" w:rsidP="00000000" w:rsidRDefault="00000000" w:rsidRPr="00000000" w14:paraId="000002C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  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Шамраївка,       </w:t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D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з ритуальних послуг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поліклініки (банкомат)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Антонів,</w:t>
            </w:r>
          </w:p>
          <w:p w:rsidR="00000000" w:rsidDel="00000000" w:rsidP="00000000" w:rsidRDefault="00000000" w:rsidRPr="00000000" w14:paraId="000002F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 буд.1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«Купальня»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Шкільна,2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«Петриків»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Весняна,54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№ 3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Чубинці</w:t>
            </w:r>
          </w:p>
          <w:p w:rsidR="00000000" w:rsidDel="00000000" w:rsidP="00000000" w:rsidRDefault="00000000" w:rsidRPr="00000000" w14:paraId="000003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вул.Яблунева,1А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«Сквирська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лікувального корпусу (приміщення № 132)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3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«Сквирська центральна міська лікарня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І поверху поліклінічного корпусу (кабінет № 36)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3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здоров’я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 (у приміщення № 17)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</w:t>
            </w:r>
          </w:p>
          <w:p w:rsidR="00000000" w:rsidDel="00000000" w:rsidP="00000000" w:rsidRDefault="00000000" w:rsidRPr="00000000" w14:paraId="000003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Центральна,37а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</w:t>
            </w:r>
          </w:p>
          <w:p w:rsidR="00000000" w:rsidDel="00000000" w:rsidP="00000000" w:rsidRDefault="00000000" w:rsidRPr="00000000" w14:paraId="0000033B">
            <w:pPr>
              <w:spacing w:after="0" w:line="240" w:lineRule="auto"/>
              <w:ind w:left="-4" w:hanging="2.000000000000001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(адмінбудинку) (у приміщення №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Кривошиїнці</w:t>
            </w:r>
          </w:p>
          <w:p w:rsidR="00000000" w:rsidDel="00000000" w:rsidP="00000000" w:rsidRDefault="00000000" w:rsidRPr="00000000" w14:paraId="000003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Сергія Пекліна, 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підприємство  «Сквираблагоустрій»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3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магазину роздрібної торгівлі              (приміщення №1-1, 1-2)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3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106,1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0" w:line="240" w:lineRule="auto"/>
              <w:ind w:left="-4" w:hanging="2.000000000000001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</w:tbl>
    <w:p w:rsidR="00000000" w:rsidDel="00000000" w:rsidP="00000000" w:rsidRDefault="00000000" w:rsidRPr="00000000" w14:paraId="00000357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E">
    <w:pPr>
      <w:tabs>
        <w:tab w:val="center" w:leader="none" w:pos="4819"/>
        <w:tab w:val="right" w:leader="none" w:pos="9639"/>
      </w:tabs>
      <w:ind w:firstLine="14034"/>
      <w:rPr>
        <w:rFonts w:ascii="Times New Roman" w:cs="Times New Roman" w:eastAsia="Times New Roman" w:hAnsi="Times New Roman"/>
        <w:b w:val="1"/>
        <w:sz w:val="24"/>
        <w:szCs w:val="24"/>
      </w:rPr>
    </w:pPr>
    <w:bookmarkStart w:colFirst="0" w:colLast="0" w:name="_heading=h.gjdgxs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Додаток 1</w:t>
    </w:r>
  </w:p>
  <w:p w:rsidR="00000000" w:rsidDel="00000000" w:rsidP="00000000" w:rsidRDefault="00000000" w:rsidRPr="00000000" w14:paraId="0000035F">
    <w:pPr>
      <w:tabs>
        <w:tab w:val="center" w:leader="none" w:pos="4819"/>
        <w:tab w:val="right" w:leader="none" w:pos="9639"/>
      </w:tabs>
      <w:spacing w:line="240" w:lineRule="auto"/>
      <w:ind w:hanging="2"/>
      <w:jc w:val="righ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до проєкту рішення міської ради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0">
    <w:pPr>
      <w:tabs>
        <w:tab w:val="center" w:leader="none" w:pos="4819"/>
        <w:tab w:val="right" w:leader="none" w:pos="9639"/>
      </w:tabs>
      <w:spacing w:line="240" w:lineRule="auto"/>
      <w:ind w:hanging="2"/>
      <w:jc w:val="righ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від _________ 2023 року №____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uiPriority w:val="1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44hlYGg5aDEfePh+3MnIJbyehQ==">CgMxLjAyCWguMWZvYjl0ZTIJaC4zZHk2dmttMgloLjJzOGV5bzEyCGguZ2pkZ3hzOAByITFRc3BQbUlyc2V0NUtxNWdjZkRIb2N2TW1kczJPMmZfdQ==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